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3B70" w14:textId="050C3898" w:rsidR="002F3A42" w:rsidRPr="002F3A42" w:rsidRDefault="002F3A42" w:rsidP="00305161">
      <w:pPr>
        <w:spacing w:line="360" w:lineRule="auto"/>
        <w:rPr>
          <w:color w:val="808080" w:themeColor="background1" w:themeShade="80"/>
          <w:sz w:val="32"/>
          <w:szCs w:val="32"/>
          <w:rFonts w:cs="Arial"/>
        </w:rPr>
      </w:pPr>
      <w:r>
        <w:rPr>
          <w:color w:val="808080" w:themeColor="background1" w:themeShade="80"/>
          <w:sz w:val="32"/>
          <w:szCs w:val="32"/>
        </w:rPr>
        <w:t xml:space="preserve">Informe anual de gestión - versión corta</w:t>
      </w:r>
    </w:p>
    <w:p w14:paraId="228239A9" w14:textId="17E1E0CD" w:rsidR="00F90C4A" w:rsidRPr="0036554E" w:rsidRDefault="00B555E0" w:rsidP="00CA2767">
      <w:pPr>
        <w:spacing w:line="360" w:lineRule="auto"/>
        <w:rPr>
          <w:sz w:val="32"/>
          <w:szCs w:val="32"/>
          <w:rFonts w:cs="Arial"/>
        </w:rPr>
      </w:pPr>
      <w:r>
        <w:rPr>
          <w:sz w:val="32"/>
          <w:szCs w:val="32"/>
        </w:rPr>
        <w:t xml:space="preserve">Pöttinger sigue el curso de crecimiento - nuevo aumento de facturación</w:t>
      </w:r>
      <w:r>
        <w:rPr>
          <w:sz w:val="32"/>
          <w:szCs w:val="32"/>
        </w:rPr>
        <w:t xml:space="preserve"> </w:t>
      </w:r>
    </w:p>
    <w:p w14:paraId="687E60A4" w14:textId="6D4858D1" w:rsidR="00133BFE" w:rsidRDefault="00133BFE" w:rsidP="00166CD0">
      <w:pPr>
        <w:spacing w:line="360" w:lineRule="auto"/>
        <w:jc w:val="both"/>
        <w:rPr>
          <w:sz w:val="24"/>
          <w:rFonts w:cs="Arial"/>
        </w:rPr>
      </w:pPr>
      <w:r>
        <w:rPr>
          <w:sz w:val="24"/>
        </w:rPr>
        <w:t xml:space="preserve">La empresa familiar austríaca </w:t>
      </w:r>
      <w:bookmarkStart w:id="1" w:name="_Hlk18408912"/>
      <w:r>
        <w:rPr>
          <w:sz w:val="24"/>
        </w:rPr>
        <w:t xml:space="preserve">Pöttinger logró en el año fiscal 2018/2019 una cifra de ventas de récord de 382 millones de Euros.</w:t>
      </w:r>
      <w:bookmarkEnd w:id="1"/>
      <w:bookmarkStart w:id="1" w:name="_Hlk18408912"/>
      <w:r>
        <w:rPr>
          <w:sz w:val="24"/>
        </w:rPr>
        <w:t xml:space="preserve"> </w:t>
      </w:r>
      <w:r>
        <w:rPr>
          <w:sz w:val="24"/>
        </w:rPr>
        <w:t xml:space="preserve">Esto corresponde a un aumento de 8 por ciento.</w:t>
      </w:r>
      <w:r>
        <w:rPr>
          <w:sz w:val="24"/>
        </w:rPr>
        <w:t xml:space="preserve"> </w:t>
      </w:r>
      <w:r>
        <w:rPr>
          <w:sz w:val="24"/>
        </w:rPr>
        <w:t xml:space="preserve">A parte de los 1.892 empleados comprometidos por todo el mundo, también ayudaron la innovadora gama de productos, la orientación internacional de la empresa y las amplias inversiones en las fabricas de producción y el centro logístico de recambios a este éxito.</w:t>
      </w:r>
      <w:r>
        <w:rPr>
          <w:sz w:val="24"/>
        </w:rPr>
        <w:t xml:space="preserve"> </w:t>
      </w:r>
      <w:bookmarkEnd w:id="1"/>
    </w:p>
    <w:p w14:paraId="6335A927" w14:textId="77777777" w:rsidR="00F40301" w:rsidRPr="00ED3836" w:rsidRDefault="00F40301" w:rsidP="003B5F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74F5722A" w14:textId="6FEC6A9A" w:rsidR="00F3189E" w:rsidRDefault="005F52BE" w:rsidP="00F3189E">
      <w:pPr>
        <w:spacing w:line="360" w:lineRule="auto"/>
        <w:jc w:val="both"/>
        <w:rPr>
          <w:iCs/>
          <w:sz w:val="28"/>
          <w:szCs w:val="28"/>
          <w:rFonts w:cs="Arial"/>
        </w:rPr>
      </w:pPr>
      <w:r>
        <w:rPr>
          <w:iCs/>
          <w:sz w:val="28"/>
          <w:szCs w:val="28"/>
        </w:rPr>
        <w:t xml:space="preserve">Crecimiento exitoso en todos los segmentos</w:t>
      </w:r>
    </w:p>
    <w:p w14:paraId="2F34481D" w14:textId="104E070B" w:rsidR="00E558B4" w:rsidRDefault="005F52BE" w:rsidP="00F3189E">
      <w:pPr>
        <w:spacing w:line="360" w:lineRule="auto"/>
        <w:jc w:val="both"/>
        <w:rPr>
          <w:iCs/>
          <w:sz w:val="24"/>
          <w:szCs w:val="22"/>
          <w:rFonts w:cs="Arial"/>
        </w:rPr>
      </w:pPr>
      <w:bookmarkStart w:id="2" w:name="_Hlk18408985"/>
      <w:r>
        <w:rPr>
          <w:iCs/>
          <w:sz w:val="24"/>
          <w:szCs w:val="22"/>
          <w:u w:val="single"/>
        </w:rPr>
        <w:t xml:space="preserve">Los aperos de forraje</w:t>
      </w:r>
      <w:r>
        <w:rPr>
          <w:iCs/>
          <w:sz w:val="24"/>
          <w:szCs w:val="22"/>
        </w:rPr>
        <w:t xml:space="preserve"> componen una cuota de 69 por ciento de toda la venta de máquinas, </w:t>
      </w:r>
      <w:r>
        <w:rPr>
          <w:iCs/>
          <w:sz w:val="24"/>
          <w:szCs w:val="22"/>
          <w:u w:val="single"/>
        </w:rPr>
        <w:t xml:space="preserve">el laboreo del suelo y técnica de siembra </w:t>
      </w:r>
      <w:r>
        <w:rPr>
          <w:iCs/>
          <w:sz w:val="24"/>
          <w:szCs w:val="22"/>
        </w:rPr>
        <w:t xml:space="preserve">31 por ciento.</w:t>
      </w:r>
      <w:r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En comparación al año anterior, el segmento del forraje ha crecido un 9 por ciento.</w:t>
      </w:r>
      <w:r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El laboreo del suelo y la técnica de siembra mejoraron la cifra de ventas un 5 por ciento en comparación al año anterior.</w:t>
      </w:r>
      <w:r>
        <w:rPr>
          <w:iCs/>
          <w:sz w:val="24"/>
          <w:szCs w:val="22"/>
        </w:rPr>
        <w:t xml:space="preserve"> </w:t>
      </w:r>
      <w:bookmarkEnd w:id="2"/>
      <w:r>
        <w:rPr>
          <w:iCs/>
          <w:sz w:val="24"/>
          <w:szCs w:val="22"/>
        </w:rPr>
        <w:t xml:space="preserve">El centro logístico de recambios, que se abrió en 2018, demostró su plena potencia.</w:t>
      </w:r>
      <w:r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El crecimiento en la venta de recambios es comparable con la de máquinas.</w:t>
      </w:r>
      <w:r>
        <w:rPr>
          <w:iCs/>
          <w:sz w:val="24"/>
          <w:szCs w:val="22"/>
        </w:rPr>
        <w:t xml:space="preserve"> </w:t>
      </w:r>
    </w:p>
    <w:p w14:paraId="710408E6" w14:textId="77777777" w:rsidR="004F7D2F" w:rsidRPr="00132418" w:rsidRDefault="004F7D2F">
      <w:pPr>
        <w:rPr>
          <w:rFonts w:cs="Arial"/>
          <w:iCs/>
          <w:sz w:val="24"/>
          <w:szCs w:val="22"/>
          <w:lang w:val="de-DE"/>
        </w:rPr>
      </w:pPr>
    </w:p>
    <w:p w14:paraId="42D64F59" w14:textId="32298215" w:rsidR="00105362" w:rsidRPr="00F576B6" w:rsidRDefault="002F3A42" w:rsidP="005F340C">
      <w:pPr>
        <w:spacing w:line="360" w:lineRule="auto"/>
        <w:jc w:val="both"/>
        <w:rPr>
          <w:iCs/>
          <w:sz w:val="28"/>
          <w:szCs w:val="28"/>
          <w:rFonts w:cs="Arial"/>
        </w:rPr>
      </w:pPr>
      <w:r>
        <w:rPr>
          <w:iCs/>
          <w:sz w:val="28"/>
          <w:szCs w:val="28"/>
        </w:rPr>
        <w:t xml:space="preserve">Pöttinger: creciente dinámica a nivel mundial</w:t>
      </w:r>
    </w:p>
    <w:p w14:paraId="6EDD6CE8" w14:textId="7FBA9CA9" w:rsidR="00DA5C72" w:rsidRPr="00F576B6" w:rsidRDefault="00940283" w:rsidP="005F340C">
      <w:pPr>
        <w:spacing w:line="360" w:lineRule="auto"/>
        <w:jc w:val="both"/>
        <w:rPr>
          <w:iCs/>
          <w:sz w:val="24"/>
          <w:szCs w:val="22"/>
          <w:rFonts w:cs="Arial"/>
        </w:rPr>
      </w:pPr>
      <w:r>
        <w:rPr>
          <w:iCs/>
          <w:sz w:val="24"/>
          <w:szCs w:val="22"/>
        </w:rPr>
        <w:t xml:space="preserve">En muchos mercados importantes, Pöttinger consiguió aumentar la cifra de ventas, a pesar de las condiciones parcialmente inconstante y de la situación de demanda bastante debilitada.</w:t>
      </w:r>
      <w:r>
        <w:rPr>
          <w:iCs/>
          <w:sz w:val="24"/>
          <w:szCs w:val="22"/>
        </w:rPr>
        <w:t xml:space="preserve"> </w:t>
      </w:r>
      <w:bookmarkStart w:id="3" w:name="_Hlk18409054"/>
      <w:r>
        <w:rPr>
          <w:iCs/>
          <w:sz w:val="24"/>
          <w:szCs w:val="22"/>
        </w:rPr>
        <w:t xml:space="preserve">El cupo de exportación de 90 % manifiesta claramente la competitividad </w:t>
      </w:r>
      <w:bookmarkEnd w:id="3"/>
      <w:r>
        <w:rPr>
          <w:iCs/>
          <w:sz w:val="24"/>
          <w:szCs w:val="22"/>
        </w:rPr>
        <w:t xml:space="preserve">del fabricante austríaco de técnica agrónoma.</w:t>
      </w:r>
    </w:p>
    <w:p w14:paraId="7A596023" w14:textId="77777777" w:rsidR="00B50658" w:rsidRPr="00C71CD6" w:rsidRDefault="00B50658" w:rsidP="00B50658">
      <w:pPr>
        <w:spacing w:line="360" w:lineRule="auto"/>
        <w:jc w:val="both"/>
        <w:rPr>
          <w:rFonts w:cs="Arial"/>
          <w:iCs/>
          <w:sz w:val="24"/>
          <w:szCs w:val="22"/>
          <w:u w:val="single"/>
          <w:lang w:val="de-DE"/>
        </w:rPr>
      </w:pPr>
    </w:p>
    <w:p w14:paraId="60836AA2" w14:textId="3CE39D35" w:rsidR="00467385" w:rsidRPr="004F271D" w:rsidRDefault="00467385" w:rsidP="00BF1549">
      <w:pPr>
        <w:spacing w:line="360" w:lineRule="auto"/>
        <w:jc w:val="both"/>
        <w:rPr>
          <w:iCs/>
          <w:sz w:val="24"/>
          <w:szCs w:val="22"/>
          <w:rFonts w:cs="Arial"/>
        </w:rPr>
      </w:pPr>
      <w:r>
        <w:rPr>
          <w:iCs/>
          <w:sz w:val="24"/>
          <w:szCs w:val="22"/>
        </w:rPr>
        <w:t xml:space="preserve">Más de 60% de la cifra de ventas se hace en Alemania, Francia, Austria, Polonia, Chequia y Suiza.</w:t>
      </w:r>
      <w:r>
        <w:rPr>
          <w:iCs/>
          <w:sz w:val="24"/>
          <w:szCs w:val="22"/>
        </w:rPr>
        <w:t xml:space="preserve"> </w:t>
      </w:r>
      <w:bookmarkStart w:id="4" w:name="_Hlk18409100"/>
      <w:r>
        <w:rPr>
          <w:iCs/>
          <w:sz w:val="24"/>
          <w:szCs w:val="22"/>
        </w:rPr>
        <w:t xml:space="preserve">Alemania con casi el</w:t>
      </w:r>
      <w:r>
        <w:rPr>
          <w:iCs/>
          <w:sz w:val="24"/>
          <w:szCs w:val="22"/>
          <w:color w:val="FF0000"/>
        </w:rPr>
        <w:t xml:space="preserve"> </w:t>
      </w:r>
      <w:r>
        <w:rPr>
          <w:iCs/>
          <w:sz w:val="24"/>
          <w:szCs w:val="22"/>
        </w:rPr>
        <w:t xml:space="preserve">20% y Francia con el 16% son los mercados individuales más grandes e importantes.</w:t>
      </w:r>
      <w:r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Afortunadamente se consiguió en el último periodo un crecimiento significativo en ambos mercados.</w:t>
      </w:r>
      <w:bookmarkEnd w:id="4"/>
      <w:r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En el año de jubilación "20 años PÖTTINGER France" se consiguió casi un aumento de 20 % de la cifra de ventas en Francia en comparación con el año anterior.</w:t>
      </w:r>
      <w:r>
        <w:rPr>
          <w:iCs/>
          <w:sz w:val="24"/>
          <w:szCs w:val="22"/>
        </w:rPr>
        <w:t xml:space="preserve"> </w:t>
      </w:r>
    </w:p>
    <w:p w14:paraId="1488B6F8" w14:textId="1B7CBD79" w:rsidR="000E636D" w:rsidRPr="00C71CD6" w:rsidRDefault="00F576B6" w:rsidP="00BF1549">
      <w:pPr>
        <w:spacing w:line="360" w:lineRule="auto"/>
        <w:jc w:val="both"/>
        <w:rPr>
          <w:iCs/>
          <w:sz w:val="24"/>
          <w:szCs w:val="22"/>
          <w:rFonts w:cs="Arial"/>
        </w:rPr>
      </w:pPr>
      <w:bookmarkStart w:id="5" w:name="_Hlk18409146"/>
      <w:r>
        <w:rPr>
          <w:iCs/>
          <w:sz w:val="24"/>
          <w:szCs w:val="22"/>
        </w:rPr>
        <w:t xml:space="preserve">El mercado nacional austríaco con una cifra de ventas totales de más de 10 % sigue siendo uno de los mercados individuales más fuertes junto a Alemania y Francia.</w:t>
      </w:r>
      <w:r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En comparación al año anterior, la cifra de ventas se aumentó considerablemente en el mercado nacional.</w:t>
      </w:r>
      <w:r>
        <w:rPr>
          <w:iCs/>
          <w:sz w:val="24"/>
          <w:szCs w:val="22"/>
        </w:rPr>
        <w:t xml:space="preserve"> </w:t>
      </w:r>
    </w:p>
    <w:p w14:paraId="5BE00A41" w14:textId="7B634649" w:rsidR="00B50658" w:rsidRPr="00A52A93" w:rsidRDefault="003E3356" w:rsidP="00B50658">
      <w:pPr>
        <w:spacing w:line="360" w:lineRule="auto"/>
        <w:jc w:val="both"/>
        <w:rPr>
          <w:iCs/>
          <w:sz w:val="24"/>
          <w:szCs w:val="22"/>
          <w:rFonts w:cs="Arial"/>
        </w:rPr>
      </w:pPr>
      <w:r>
        <w:rPr>
          <w:iCs/>
          <w:sz w:val="24"/>
          <w:szCs w:val="22"/>
        </w:rPr>
        <w:t xml:space="preserve">Los países con mayor aumento de venta son Suecia, Chequia e Italia, que superaron las expectativas con creces.</w:t>
      </w:r>
      <w:bookmarkEnd w:id="5"/>
      <w:r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Con el desarrollo muy exitoso en el Norte de Europa (Suecia y Noruega con + 37 % cada uno, Dinamarca + 15 % y Finlandia + 85 %) también ayudó mucho la filial PÖTTINGER Escandinavia que se fundó en el año 2016.</w:t>
      </w:r>
      <w:r>
        <w:rPr>
          <w:iCs/>
          <w:sz w:val="24"/>
          <w:szCs w:val="22"/>
        </w:rPr>
        <w:t xml:space="preserve"> </w:t>
      </w:r>
    </w:p>
    <w:p w14:paraId="3CF6485D" w14:textId="77777777" w:rsidR="008C68D8" w:rsidRPr="0091686B" w:rsidRDefault="008C68D8" w:rsidP="005F340C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0E404349" w14:textId="53C4514C" w:rsidR="002F3A42" w:rsidRPr="00372948" w:rsidRDefault="0049721A" w:rsidP="00FB5247">
      <w:pPr>
        <w:spacing w:line="360" w:lineRule="auto"/>
        <w:jc w:val="both"/>
        <w:rPr>
          <w:iCs/>
          <w:sz w:val="28"/>
          <w:szCs w:val="28"/>
          <w:rFonts w:cs="Arial"/>
        </w:rPr>
      </w:pPr>
      <w:r>
        <w:rPr>
          <w:iCs/>
          <w:sz w:val="28"/>
          <w:szCs w:val="28"/>
        </w:rPr>
        <w:t xml:space="preserve">Nuestra visión</w:t>
      </w:r>
    </w:p>
    <w:p w14:paraId="52620CAD" w14:textId="351EA36B" w:rsidR="00BC1770" w:rsidRPr="005D4233" w:rsidRDefault="00D42F4D" w:rsidP="00FB5247">
      <w:pPr>
        <w:spacing w:line="360" w:lineRule="auto"/>
        <w:jc w:val="both"/>
        <w:rPr>
          <w:iCs/>
          <w:sz w:val="24"/>
          <w:rFonts w:cs="Arial"/>
        </w:rPr>
      </w:pPr>
      <w:r>
        <w:rPr>
          <w:iCs/>
          <w:sz w:val="24"/>
        </w:rPr>
        <w:t xml:space="preserve">"Como empresa familiar autónoma tenemos como objetivo de hacer las empresas agrícolas más exitosas, de facilitarles el trabajo y de aumentar la calidad de sus productos.</w:t>
      </w:r>
      <w:r>
        <w:rPr>
          <w:iCs/>
          <w:sz w:val="24"/>
        </w:rPr>
        <w:t xml:space="preserve"> </w:t>
      </w:r>
      <w:r>
        <w:rPr>
          <w:iCs/>
          <w:sz w:val="24"/>
        </w:rPr>
        <w:t xml:space="preserve">Con esto garantizamos un resultado de trabajo fuera de serie con el mejor rendimiento.</w:t>
      </w:r>
      <w:r>
        <w:rPr>
          <w:iCs/>
          <w:sz w:val="24"/>
        </w:rPr>
        <w:t xml:space="preserve"> </w:t>
      </w:r>
      <w:r>
        <w:rPr>
          <w:iCs/>
          <w:sz w:val="24"/>
          <w:szCs w:val="22"/>
        </w:rPr>
        <w:t xml:space="preserve">Vivimos la técnica agrónoma en todas sus facetas.</w:t>
      </w:r>
      <w:r>
        <w:rPr>
          <w:iCs/>
          <w:sz w:val="24"/>
          <w:szCs w:val="22"/>
        </w:rPr>
        <w:t xml:space="preserve"> </w:t>
      </w:r>
      <w:bookmarkStart w:id="6" w:name="_Hlk18409370"/>
      <w:r>
        <w:rPr>
          <w:iCs/>
          <w:sz w:val="24"/>
          <w:szCs w:val="22"/>
        </w:rPr>
        <w:t xml:space="preserve">Juntos con nuestros empleados comprometidos y la colaboración fiable con nuestros clientes, así como con las máquinas y servicios innovadores podemos seguir con nuestro sólido curso de crecimiento en los próximos años", describe Gregor Dietachmayr, el portavoz de la gerencia, los enfoques esenciales para los próximos años.</w:t>
      </w:r>
      <w:bookmarkEnd w:id="6"/>
    </w:p>
    <w:p w14:paraId="32CD7EC6" w14:textId="77777777" w:rsidR="002F3A42" w:rsidRPr="005D4233" w:rsidRDefault="002F3A42" w:rsidP="00FB5247">
      <w:pPr>
        <w:jc w:val="both"/>
        <w:rPr>
          <w:rFonts w:cs="Arial"/>
          <w:iCs/>
          <w:sz w:val="24"/>
          <w:szCs w:val="22"/>
          <w:lang w:val="de-DE"/>
        </w:rPr>
      </w:pPr>
    </w:p>
    <w:p w14:paraId="31F55CF7" w14:textId="4FF38C5B" w:rsidR="00F40301" w:rsidRDefault="00F40301" w:rsidP="00F40301">
      <w:pPr>
        <w:spacing w:line="360" w:lineRule="auto"/>
        <w:jc w:val="both"/>
        <w:rPr>
          <w:b/>
          <w:sz w:val="24"/>
          <w:szCs w:val="22"/>
          <w:rFonts w:cs="Arial"/>
        </w:rPr>
      </w:pPr>
      <w:r>
        <w:rPr>
          <w:b/>
          <w:sz w:val="24"/>
          <w:szCs w:val="22"/>
        </w:rPr>
        <w:t xml:space="preserve">Previsión de imágenes: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A83FD5" w:rsidRPr="00A83FD5" w14:paraId="6161DF2D" w14:textId="77777777" w:rsidTr="00E72816">
        <w:tc>
          <w:tcPr>
            <w:tcW w:w="4485" w:type="dxa"/>
          </w:tcPr>
          <w:p w14:paraId="137B74D6" w14:textId="77777777" w:rsidR="00F71653" w:rsidRPr="00F716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A83FD5" w:rsidRDefault="00942D12" w:rsidP="00942D12">
            <w:pPr>
              <w:spacing w:line="360" w:lineRule="auto"/>
              <w:jc w:val="center"/>
              <w:rPr>
                <w:b/>
                <w:color w:val="FF00FF"/>
                <w:sz w:val="24"/>
                <w:szCs w:val="22"/>
                <w:rFonts w:cs="Arial"/>
              </w:rPr>
            </w:pPr>
            <w:r>
              <w:rPr>
                <w:color w:val="FF00FF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</w:tcPr>
          <w:p w14:paraId="1D84AB5F" w14:textId="77777777" w:rsidR="00F71653" w:rsidRPr="00F716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023DF24A" w:rsidR="00F40301" w:rsidRPr="00A83FD5" w:rsidRDefault="00942D12" w:rsidP="00F81BDE">
            <w:pPr>
              <w:spacing w:line="360" w:lineRule="auto"/>
              <w:jc w:val="center"/>
              <w:rPr>
                <w:b/>
                <w:color w:val="FF00FF"/>
                <w:sz w:val="24"/>
                <w:szCs w:val="22"/>
                <w:rFonts w:cs="Arial"/>
              </w:rPr>
            </w:pPr>
            <w:r>
              <w:rPr>
                <w:color w:val="FF00FF"/>
              </w:rPr>
              <w:drawing>
                <wp:inline distT="0" distB="0" distL="0" distR="0" wp14:anchorId="3978C802" wp14:editId="699DD65B">
                  <wp:extent cx="1143000" cy="857250"/>
                  <wp:effectExtent l="0" t="0" r="0" b="0"/>
                  <wp:docPr id="4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A83FD5" w14:paraId="310C885F" w14:textId="77777777" w:rsidTr="00E72816">
        <w:tc>
          <w:tcPr>
            <w:tcW w:w="4485" w:type="dxa"/>
          </w:tcPr>
          <w:p w14:paraId="02BB9F16" w14:textId="77777777" w:rsidR="00942D12" w:rsidRPr="00960826" w:rsidRDefault="00F40301" w:rsidP="00942D12">
            <w:pPr>
              <w:jc w:val="center"/>
              <w:rPr>
                <w:szCs w:val="22"/>
                <w:rFonts w:cs="Arial"/>
              </w:rPr>
            </w:pPr>
            <w:r>
              <w:t xml:space="preserve">Mag.</w:t>
            </w:r>
            <w:r>
              <w:t xml:space="preserve"> </w:t>
            </w:r>
            <w:r>
              <w:t xml:space="preserve">Gregor Dietachmayr,</w:t>
            </w:r>
            <w:r>
              <w:t xml:space="preserve"> </w:t>
            </w:r>
          </w:p>
          <w:p w14:paraId="72D2CB62" w14:textId="77777777" w:rsidR="00F40301" w:rsidRPr="00A83FD5" w:rsidRDefault="00F40301" w:rsidP="00942D12">
            <w:pPr>
              <w:jc w:val="center"/>
              <w:rPr>
                <w:color w:val="FF00FF"/>
                <w:szCs w:val="22"/>
                <w:rFonts w:cs="Arial"/>
              </w:rPr>
            </w:pPr>
            <w:r>
              <w:t xml:space="preserve">Portavoz de la gerencia</w:t>
            </w:r>
          </w:p>
        </w:tc>
        <w:tc>
          <w:tcPr>
            <w:tcW w:w="4577" w:type="dxa"/>
          </w:tcPr>
          <w:p w14:paraId="49252516" w14:textId="19E41B04" w:rsidR="00F40301" w:rsidRPr="00E72816" w:rsidRDefault="00F621A0" w:rsidP="00E72816">
            <w:pPr>
              <w:jc w:val="both"/>
              <w:rPr>
                <w:iCs/>
                <w:szCs w:val="22"/>
                <w:rFonts w:cs="Arial"/>
              </w:rPr>
            </w:pPr>
            <w:r>
              <w:t xml:space="preserve">Desde la izquierda:</w:t>
            </w:r>
            <w:r>
              <w:t xml:space="preserve"> </w:t>
            </w:r>
            <w:r>
              <w:t xml:space="preserve">DI (FH) Jörg Lechner, Dr. Markus Baldinger, Mag.</w:t>
            </w:r>
            <w:r>
              <w:t xml:space="preserve"> </w:t>
            </w:r>
            <w:r>
              <w:t xml:space="preserve">Gregor Dietachmayr, Mag.</w:t>
            </w:r>
            <w:r>
              <w:t xml:space="preserve"> </w:t>
            </w:r>
            <w:r>
              <w:t xml:space="preserve">Wolfgang Moser, Mag.</w:t>
            </w:r>
            <w:r>
              <w:t xml:space="preserve"> </w:t>
            </w:r>
            <w:r>
              <w:t xml:space="preserve">Herbert Wagner</w:t>
            </w:r>
          </w:p>
        </w:tc>
      </w:tr>
      <w:tr w:rsidR="00A83FD5" w:rsidRPr="00A83FD5" w14:paraId="7A28C75F" w14:textId="77777777" w:rsidTr="00E72816">
        <w:tc>
          <w:tcPr>
            <w:tcW w:w="4485" w:type="dxa"/>
          </w:tcPr>
          <w:p w14:paraId="48D87403" w14:textId="040621D0" w:rsidR="00F40301" w:rsidRPr="00960826" w:rsidRDefault="004C0A2B" w:rsidP="00942D12">
            <w:pPr>
              <w:jc w:val="center"/>
              <w:rPr>
                <w:b/>
                <w:color w:val="FF00FF"/>
                <w:sz w:val="20"/>
                <w:szCs w:val="20"/>
                <w:rFonts w:cs="Arial"/>
              </w:rPr>
            </w:pPr>
            <w:hyperlink r:id="rId10" w:history="1">
              <w:r>
                <w:rPr>
                  <w:color w:val="0000FF"/>
                  <w:sz w:val="20"/>
                  <w:szCs w:val="20"/>
                  <w:u w:val="single"/>
                </w:rPr>
                <w:t xml:space="preserve">http://www.poettinger.at/de_in/Newsroom/Pressebild/4063</w:t>
              </w:r>
            </w:hyperlink>
          </w:p>
        </w:tc>
        <w:tc>
          <w:tcPr>
            <w:tcW w:w="4577" w:type="dxa"/>
          </w:tcPr>
          <w:p w14:paraId="72491EA0" w14:textId="5FCC83A5" w:rsidR="00CA4B29" w:rsidRPr="00960826" w:rsidRDefault="004C0A2B" w:rsidP="00503E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color w:val="0000FF"/>
                  <w:sz w:val="20"/>
                  <w:szCs w:val="20"/>
                  <w:u w:val="single"/>
                </w:rPr>
                <w:t xml:space="preserve">https://www.poettinger.at/de_at/Newsroom/Pressebild/4062</w:t>
              </w:r>
            </w:hyperlink>
          </w:p>
        </w:tc>
      </w:tr>
    </w:tbl>
    <w:p w14:paraId="14590026" w14:textId="77777777" w:rsidR="00570C3D" w:rsidRPr="00301C9E" w:rsidRDefault="00570C3D" w:rsidP="00D26777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125C9674" w14:textId="4842F7F3" w:rsidR="002F3A42" w:rsidRDefault="002F3A42" w:rsidP="00F514CE">
      <w:pPr>
        <w:spacing w:line="360" w:lineRule="auto"/>
        <w:jc w:val="both"/>
        <w:rPr>
          <w:rStyle w:val="Hyperlink"/>
          <w:color w:val="auto"/>
          <w:szCs w:val="22"/>
          <w:rFonts w:cs="Arial"/>
        </w:rPr>
      </w:pPr>
      <w:r>
        <w:t xml:space="preserve">Más fotos optimizadas para imprimir:</w:t>
      </w:r>
      <w:r>
        <w:t xml:space="preserve"> </w:t>
      </w:r>
      <w:hyperlink r:id="rId12" w:history="1">
        <w:r>
          <w:rPr>
            <w:rStyle w:val="Hyperlink"/>
          </w:rPr>
          <w:t xml:space="preserve">https://www.poettinger.at/presse</w:t>
        </w:r>
      </w:hyperlink>
    </w:p>
    <w:sectPr w:rsidR="002F3A42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5AEC" w14:textId="77777777" w:rsidR="00105362" w:rsidRDefault="00105362" w:rsidP="00A92099">
      <w:r>
        <w:separator/>
      </w:r>
    </w:p>
  </w:endnote>
  <w:endnote w:type="continuationSeparator" w:id="0">
    <w:p w14:paraId="3D8A6A4E" w14:textId="77777777"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b/>
        <w:sz w:val="18"/>
        <w:szCs w:val="18"/>
        <w:rFonts w:cs="Arial"/>
      </w:rPr>
    </w:pPr>
    <w:r>
      <w:rPr>
        <w:b/>
        <w:sz w:val="18"/>
        <w:szCs w:val="18"/>
      </w:rPr>
      <w:t xml:space="preserve">PÖTTINGER Landtechnik GmbH – comunicación de empresa</w:t>
    </w:r>
  </w:p>
  <w:p w14:paraId="2EE3C526" w14:textId="77777777" w:rsidR="00F40301" w:rsidRDefault="00F40301" w:rsidP="00F514CE">
    <w:pPr>
      <w:rPr>
        <w:sz w:val="18"/>
        <w:szCs w:val="18"/>
        <w:rFonts w:cs="Arial"/>
      </w:rPr>
    </w:pPr>
    <w:r>
      <w:rPr>
        <w:sz w:val="18"/>
        <w:szCs w:val="18"/>
      </w:rPr>
      <w:t xml:space="preserve">Inge Steibl,</w:t>
    </w:r>
    <w:r>
      <w:rPr>
        <w:sz w:val="18"/>
        <w:szCs w:val="18"/>
        <w:b/>
      </w:rPr>
      <w:t xml:space="preserve"> </w:t>
    </w:r>
    <w:r>
      <w:rPr>
        <w:sz w:val="18"/>
        <w:szCs w:val="18"/>
      </w:rPr>
      <w:t xml:space="preserve">Industriegelände 1, AT-4710 Grieskirchen,</w:t>
    </w:r>
    <w:r>
      <w:rPr>
        <w:sz w:val="18"/>
        <w:szCs w:val="18"/>
      </w:rPr>
      <w:t xml:space="preserve"> </w:t>
    </w:r>
  </w:p>
  <w:p w14:paraId="730F00C5" w14:textId="0E2CAF22" w:rsidR="00105362" w:rsidRPr="00796525" w:rsidRDefault="003E3356" w:rsidP="00F514CE">
    <w:pPr>
      <w:rPr>
        <w:sz w:val="18"/>
        <w:szCs w:val="18"/>
        <w:rFonts w:cs="Arial"/>
      </w:rPr>
    </w:pPr>
    <w:r>
      <w:rPr>
        <w:sz w:val="18"/>
        <w:szCs w:val="18"/>
      </w:rPr>
      <w:t xml:space="preserve">Tel.: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+43 7248 600 2415, inge.steibl@poettinger.at, www.poettinger.at</w:t>
      <w:tab/>
      <w:t xml:space="preserve">     </w:t>
      <w:tab/>
      <w:tab/>
      <w:tab/>
      <w:tab/>
      <w:t xml:space="preserve"> </w:t>
    </w:r>
    <w:r w:rsidR="00105362" w:rsidRPr="00AB6584">
      <w:rPr>
        <w:sz w:val="18"/>
        <w:szCs w:val="18"/>
        <w:rFonts w:cs="Arial"/>
      </w:rPr>
      <w:fldChar w:fldCharType="begin"/>
    </w:r>
    <w:r w:rsidR="00105362" w:rsidRPr="00AB6584">
      <w:rPr>
        <w:sz w:val="18"/>
        <w:szCs w:val="18"/>
        <w:rFonts w:cs="Arial"/>
      </w:rPr>
      <w:instrText xml:space="preserve"> PAGE   \* MERGEFORMAT </w:instrText>
    </w:r>
    <w:r w:rsidR="00105362" w:rsidRPr="00AB6584">
      <w:rPr>
        <w:sz w:val="18"/>
        <w:szCs w:val="18"/>
        <w:rFonts w:cs="Arial"/>
      </w:rPr>
      <w:fldChar w:fldCharType="separate"/>
    </w:r>
    <w:r w:rsidR="00A1023C">
      <w:rPr>
        <w:sz w:val="18"/>
        <w:szCs w:val="18"/>
        <w:rFonts w:cs="Arial"/>
      </w:rPr>
      <w:t>3</w:t>
    </w:r>
    <w:r w:rsidR="00105362" w:rsidRPr="00AB6584">
      <w:rPr>
        <w:sz w:val="18"/>
        <w:szCs w:val="18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DB84" w14:textId="77777777" w:rsidR="00105362" w:rsidRDefault="00105362" w:rsidP="00A92099">
      <w:r>
        <w:separator/>
      </w:r>
    </w:p>
  </w:footnote>
  <w:footnote w:type="continuationSeparator" w:id="0">
    <w:p w14:paraId="367F1E4E" w14:textId="77777777"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7E20" w14:textId="77777777" w:rsidR="00105362" w:rsidRDefault="00F3189E" w:rsidP="00F2555A">
    <w:pPr>
      <w:spacing w:line="360" w:lineRule="auto"/>
      <w:rPr>
        <w:sz w:val="24"/>
        <w:rFonts w:cs="Arial"/>
      </w:rPr>
    </w:pPr>
    <w:r>
      <w:rPr>
        <w:b/>
        <w:sz w:val="24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b/>
        <w:sz w:val="24"/>
        <w:rFonts w:cs="Arial"/>
      </w:rPr>
    </w:pPr>
    <w:r>
      <w:rPr>
        <w:b/>
        <w:sz w:val="24"/>
      </w:rPr>
      <w:t xml:space="preserve">Información de prensa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dirty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511C3"/>
    <w:rsid w:val="000729E6"/>
    <w:rsid w:val="00080095"/>
    <w:rsid w:val="00083112"/>
    <w:rsid w:val="00086292"/>
    <w:rsid w:val="00090CD0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233CA"/>
    <w:rsid w:val="00132418"/>
    <w:rsid w:val="00133BFE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B0846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4658"/>
    <w:rsid w:val="002D65F4"/>
    <w:rsid w:val="002E072E"/>
    <w:rsid w:val="002E0819"/>
    <w:rsid w:val="002F3A42"/>
    <w:rsid w:val="002F4A34"/>
    <w:rsid w:val="002F68F9"/>
    <w:rsid w:val="00301C9E"/>
    <w:rsid w:val="00305161"/>
    <w:rsid w:val="00306D4E"/>
    <w:rsid w:val="00310761"/>
    <w:rsid w:val="00332F2C"/>
    <w:rsid w:val="003339E3"/>
    <w:rsid w:val="0033632A"/>
    <w:rsid w:val="00341328"/>
    <w:rsid w:val="00354075"/>
    <w:rsid w:val="0036554E"/>
    <w:rsid w:val="00367BAE"/>
    <w:rsid w:val="00370CDF"/>
    <w:rsid w:val="00372948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414BF9"/>
    <w:rsid w:val="00414D93"/>
    <w:rsid w:val="00454B0B"/>
    <w:rsid w:val="0045696A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C0A2B"/>
    <w:rsid w:val="004C25A8"/>
    <w:rsid w:val="004D13C6"/>
    <w:rsid w:val="004D51C0"/>
    <w:rsid w:val="004F271D"/>
    <w:rsid w:val="004F7891"/>
    <w:rsid w:val="004F7D2F"/>
    <w:rsid w:val="005039B8"/>
    <w:rsid w:val="00503E26"/>
    <w:rsid w:val="00510DBE"/>
    <w:rsid w:val="00511732"/>
    <w:rsid w:val="005118B3"/>
    <w:rsid w:val="005131A2"/>
    <w:rsid w:val="00513E2F"/>
    <w:rsid w:val="0051600D"/>
    <w:rsid w:val="00523CA9"/>
    <w:rsid w:val="00553987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D4233"/>
    <w:rsid w:val="005E1D9F"/>
    <w:rsid w:val="005E22A4"/>
    <w:rsid w:val="005E3656"/>
    <w:rsid w:val="005F340C"/>
    <w:rsid w:val="005F52BE"/>
    <w:rsid w:val="006003A7"/>
    <w:rsid w:val="00607765"/>
    <w:rsid w:val="00626315"/>
    <w:rsid w:val="00632E4B"/>
    <w:rsid w:val="006373F9"/>
    <w:rsid w:val="00647E50"/>
    <w:rsid w:val="00650000"/>
    <w:rsid w:val="006527FE"/>
    <w:rsid w:val="0066562C"/>
    <w:rsid w:val="006671E5"/>
    <w:rsid w:val="00690AB6"/>
    <w:rsid w:val="006932F7"/>
    <w:rsid w:val="00694417"/>
    <w:rsid w:val="00696E62"/>
    <w:rsid w:val="006D6874"/>
    <w:rsid w:val="006E3C71"/>
    <w:rsid w:val="006E79F5"/>
    <w:rsid w:val="006F4BAA"/>
    <w:rsid w:val="007026A3"/>
    <w:rsid w:val="00710CB9"/>
    <w:rsid w:val="00715C69"/>
    <w:rsid w:val="00721100"/>
    <w:rsid w:val="007245A4"/>
    <w:rsid w:val="00730974"/>
    <w:rsid w:val="00732FF9"/>
    <w:rsid w:val="0073638A"/>
    <w:rsid w:val="007401A5"/>
    <w:rsid w:val="00745D8A"/>
    <w:rsid w:val="00745EE4"/>
    <w:rsid w:val="00773D2C"/>
    <w:rsid w:val="00776BBB"/>
    <w:rsid w:val="007817A5"/>
    <w:rsid w:val="00782612"/>
    <w:rsid w:val="00793B87"/>
    <w:rsid w:val="00796525"/>
    <w:rsid w:val="007B12BD"/>
    <w:rsid w:val="007B4598"/>
    <w:rsid w:val="007B5537"/>
    <w:rsid w:val="007B7F3E"/>
    <w:rsid w:val="007C745B"/>
    <w:rsid w:val="007E3998"/>
    <w:rsid w:val="007F5582"/>
    <w:rsid w:val="007F645D"/>
    <w:rsid w:val="007F69F2"/>
    <w:rsid w:val="00805634"/>
    <w:rsid w:val="0081122D"/>
    <w:rsid w:val="00820FE0"/>
    <w:rsid w:val="00831037"/>
    <w:rsid w:val="00833003"/>
    <w:rsid w:val="00837983"/>
    <w:rsid w:val="00841C80"/>
    <w:rsid w:val="008611E7"/>
    <w:rsid w:val="008618BE"/>
    <w:rsid w:val="00861F8B"/>
    <w:rsid w:val="00867CDC"/>
    <w:rsid w:val="008857FE"/>
    <w:rsid w:val="008953E9"/>
    <w:rsid w:val="008A478F"/>
    <w:rsid w:val="008B1F4A"/>
    <w:rsid w:val="008C68D8"/>
    <w:rsid w:val="008D1B94"/>
    <w:rsid w:val="008D3602"/>
    <w:rsid w:val="008E42C7"/>
    <w:rsid w:val="008E6C96"/>
    <w:rsid w:val="008F345E"/>
    <w:rsid w:val="0090166F"/>
    <w:rsid w:val="009034C3"/>
    <w:rsid w:val="00906931"/>
    <w:rsid w:val="009122A6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F3E"/>
    <w:rsid w:val="009B7C92"/>
    <w:rsid w:val="009C6C19"/>
    <w:rsid w:val="009D5026"/>
    <w:rsid w:val="009E7D93"/>
    <w:rsid w:val="00A024E7"/>
    <w:rsid w:val="00A05F62"/>
    <w:rsid w:val="00A1023C"/>
    <w:rsid w:val="00A26299"/>
    <w:rsid w:val="00A27DCD"/>
    <w:rsid w:val="00A33250"/>
    <w:rsid w:val="00A33633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C06E5F"/>
    <w:rsid w:val="00C0770E"/>
    <w:rsid w:val="00C22754"/>
    <w:rsid w:val="00C22763"/>
    <w:rsid w:val="00C41834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10A8A"/>
    <w:rsid w:val="00D24A5B"/>
    <w:rsid w:val="00D26777"/>
    <w:rsid w:val="00D42F4D"/>
    <w:rsid w:val="00D43D59"/>
    <w:rsid w:val="00D6000B"/>
    <w:rsid w:val="00D630B5"/>
    <w:rsid w:val="00D66D21"/>
    <w:rsid w:val="00D75C62"/>
    <w:rsid w:val="00D81874"/>
    <w:rsid w:val="00D81D3B"/>
    <w:rsid w:val="00D918E6"/>
    <w:rsid w:val="00D94C66"/>
    <w:rsid w:val="00DA2903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E03806"/>
    <w:rsid w:val="00E215B5"/>
    <w:rsid w:val="00E244B7"/>
    <w:rsid w:val="00E25DB2"/>
    <w:rsid w:val="00E26C97"/>
    <w:rsid w:val="00E36883"/>
    <w:rsid w:val="00E40E5C"/>
    <w:rsid w:val="00E558B4"/>
    <w:rsid w:val="00E63E2D"/>
    <w:rsid w:val="00E663BF"/>
    <w:rsid w:val="00E667FA"/>
    <w:rsid w:val="00E66BB8"/>
    <w:rsid w:val="00E70629"/>
    <w:rsid w:val="00E72816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90C4A"/>
    <w:rsid w:val="00FA20B3"/>
    <w:rsid w:val="00FB5247"/>
    <w:rsid w:val="00FB7A4D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s-E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es-ES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s-E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s-E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s-E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de_in/Newsroom/Pressebild/4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FE1933-9D68-49BE-A68B-9433B04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D654C1C5.dotm</Template>
  <TotalTime>0</TotalTime>
  <Pages>1</Pages>
  <Words>527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18/19 kurz</vt:lpstr>
    </vt:vector>
  </TitlesOfParts>
  <Company>PÖTTINGER Landtechnik GmbH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18/19 kurz</dc:title>
  <dc:creator>steiing</dc:creator>
  <cp:lastModifiedBy>Huemer-Mayr Andrea</cp:lastModifiedBy>
  <cp:revision>2</cp:revision>
  <cp:lastPrinted>2019-09-03T10:52:00Z</cp:lastPrinted>
  <dcterms:created xsi:type="dcterms:W3CDTF">2019-09-04T06:13:00Z</dcterms:created>
  <dcterms:modified xsi:type="dcterms:W3CDTF">2019-09-04T06:13:00Z</dcterms:modified>
</cp:coreProperties>
</file>